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rsidR="007F29F5">
        <w:t>163225</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D03119">
        <w:t>Duplex scheme</w:t>
      </w:r>
      <w:r w:rsidR="00CF67BE">
        <w:t xml:space="preserve"> for </w:t>
      </w:r>
      <w:r w:rsidR="007F29F5">
        <w:t>NR</w:t>
      </w:r>
    </w:p>
    <w:p w:rsidR="00FE5799" w:rsidRPr="0003368D" w:rsidRDefault="00FE5799" w:rsidP="00FE5799">
      <w:pPr>
        <w:pStyle w:val="Header"/>
        <w:tabs>
          <w:tab w:val="left" w:pos="1800"/>
        </w:tabs>
      </w:pPr>
      <w:r w:rsidRPr="0003368D">
        <w:t>Agenda Item:</w:t>
      </w:r>
      <w:bookmarkStart w:id="1" w:name="Source"/>
      <w:bookmarkEnd w:id="1"/>
      <w:r w:rsidRPr="0003368D">
        <w:tab/>
      </w:r>
      <w:r w:rsidR="00BC3912">
        <w:t>8.1.5</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9A6BB8" w:rsidRDefault="00112E18" w:rsidP="00112E18">
      <w:pPr>
        <w:pStyle w:val="BodyText"/>
      </w:pPr>
      <w:r>
        <w:t xml:space="preserve">Spectrum </w:t>
      </w:r>
      <w:r w:rsidR="00A81AA1">
        <w:t xml:space="preserve">allocations are either </w:t>
      </w:r>
      <w:r>
        <w:t xml:space="preserve">paired or unpaired where the </w:t>
      </w:r>
      <w:r w:rsidR="00A81AA1">
        <w:t xml:space="preserve">former typically is exploited using FDD and the latter using TDD. This situation will remain also in the </w:t>
      </w:r>
      <w:r w:rsidR="000A258F">
        <w:t xml:space="preserve">5G era. However, unpaired spectrum allocations are increasingly </w:t>
      </w:r>
      <w:r w:rsidR="009A6BB8">
        <w:t xml:space="preserve">common the higher the frequency band and consequently TDD is even more important than in previous generations, in particular for high frequencies and small-cell </w:t>
      </w:r>
      <w:r w:rsidR="00C61496">
        <w:t>deployments</w:t>
      </w:r>
      <w:r w:rsidR="009A6BB8">
        <w:t>.</w:t>
      </w:r>
    </w:p>
    <w:p w:rsidR="00FE5799" w:rsidRDefault="009A6BB8" w:rsidP="00FE5799">
      <w:pPr>
        <w:pStyle w:val="Heading1"/>
      </w:pPr>
      <w:r>
        <w:t>Dynamic TDD</w:t>
      </w:r>
    </w:p>
    <w:p w:rsidR="00C61496" w:rsidRDefault="009A6BB8" w:rsidP="009A6BB8">
      <w:pPr>
        <w:pStyle w:val="BodyText"/>
      </w:pPr>
      <w:r>
        <w:t xml:space="preserve">In LTE, </w:t>
      </w:r>
      <w:r w:rsidR="007F29F5">
        <w:t>Frame Structure 2</w:t>
      </w:r>
      <w:r>
        <w:t xml:space="preserve"> is designed with a (more or less) fixed uplink-downlink allocation that is not changed over time. This is a relevant choice for wide-area macro deployments where BS-to-BS interference is a problem. </w:t>
      </w:r>
      <w:r w:rsidR="00C61496">
        <w:t xml:space="preserve">However, with an increased focus on small-cell deployments, the number of active users per cell may be small and the traffic variations larger than in a large cell. Some of the problematic interference scenarios in wide-area TDD are also less pronounced in local-area deployments. To better exploit the traffic variations, </w:t>
      </w:r>
      <w:proofErr w:type="spellStart"/>
      <w:r w:rsidR="00C61496">
        <w:t>eIMTA</w:t>
      </w:r>
      <w:proofErr w:type="spellEnd"/>
      <w:r w:rsidR="00C61496">
        <w:t xml:space="preserve"> was introduced to LTE. In short, the LTE design started with static TDD and later took steps in the direction of a more dynamic assignment of uplink/downlink resources.</w:t>
      </w:r>
    </w:p>
    <w:p w:rsidR="00E63D88" w:rsidRDefault="00C61496" w:rsidP="009A6BB8">
      <w:pPr>
        <w:pStyle w:val="BodyText"/>
      </w:pPr>
      <w:r>
        <w:t xml:space="preserve">For the new 5G RAT, TDD should obviously be supported. However, unlike LTE, the basis for the design should be </w:t>
      </w:r>
      <w:r>
        <w:rPr>
          <w:i/>
        </w:rPr>
        <w:t>dynamic TDD</w:t>
      </w:r>
      <w:r>
        <w:t xml:space="preserve"> where the parts of a subframe carrying data</w:t>
      </w:r>
      <w:r w:rsidR="00E63D88">
        <w:t xml:space="preserve"> (or the whole subframe)</w:t>
      </w:r>
      <w:r>
        <w:t xml:space="preserve"> should be assignable to either uplink or downlink on a dynamic basis under the control of the scheduler.</w:t>
      </w:r>
      <w:r w:rsidR="00E63D88">
        <w:t xml:space="preserve"> </w:t>
      </w:r>
    </w:p>
    <w:p w:rsidR="00C61496" w:rsidRDefault="00E63D88" w:rsidP="009A6BB8">
      <w:pPr>
        <w:pStyle w:val="BodyText"/>
      </w:pPr>
      <w:r>
        <w:t>Clearly, dynamic assignment of the transmission direction is not relevant in all deployments, but in those cases the scheduling flexibility can be restricted as part of the implementation. It is significantly simpler to restrict a dynamic scheme when necessary than to add dynamics to a static scheme.</w:t>
      </w:r>
    </w:p>
    <w:p w:rsidR="00E63D88" w:rsidRDefault="00E63D88" w:rsidP="009A6BB8">
      <w:pPr>
        <w:pStyle w:val="BodyText"/>
      </w:pPr>
      <w:r>
        <w:t xml:space="preserve">A frame structure supporting dynamic TDD is discussed in </w:t>
      </w:r>
      <w:r>
        <w:fldChar w:fldCharType="begin"/>
      </w:r>
      <w:r>
        <w:instrText xml:space="preserve"> REF _Ref445813159 \r \h </w:instrText>
      </w:r>
      <w:r>
        <w:fldChar w:fldCharType="separate"/>
      </w:r>
      <w:r>
        <w:t>[1]</w:t>
      </w:r>
      <w:r>
        <w:fldChar w:fldCharType="end"/>
      </w:r>
      <w:r>
        <w:t>.</w:t>
      </w:r>
    </w:p>
    <w:p w:rsidR="00FE5799" w:rsidRDefault="00FE5799" w:rsidP="00FE5799">
      <w:pPr>
        <w:pStyle w:val="Heading1"/>
      </w:pPr>
      <w:r>
        <w:t>Conclusion</w:t>
      </w:r>
    </w:p>
    <w:p w:rsidR="00BA2CDD" w:rsidRDefault="00BA2CDD" w:rsidP="00FE5799">
      <w:pPr>
        <w:pStyle w:val="BodyText"/>
      </w:pPr>
      <w:r>
        <w:t>It is proposed that:</w:t>
      </w:r>
    </w:p>
    <w:p w:rsidR="00FE5799" w:rsidRPr="00BA2CDD" w:rsidRDefault="00BA2CDD" w:rsidP="00BA2CDD">
      <w:pPr>
        <w:pStyle w:val="BodyText"/>
        <w:numPr>
          <w:ilvl w:val="0"/>
          <w:numId w:val="4"/>
        </w:numPr>
        <w:rPr>
          <w:b/>
        </w:rPr>
      </w:pPr>
      <w:r w:rsidRPr="00BA2CDD">
        <w:rPr>
          <w:b/>
        </w:rPr>
        <w:t xml:space="preserve">TDD operation should be based on </w:t>
      </w:r>
      <w:r w:rsidR="00E63D88" w:rsidRPr="00BA2CDD">
        <w:rPr>
          <w:b/>
          <w:i/>
        </w:rPr>
        <w:t>dynamic TDD</w:t>
      </w:r>
      <w:r w:rsidR="00E63D88" w:rsidRPr="00BA2CDD">
        <w:rPr>
          <w:b/>
        </w:rPr>
        <w:t xml:space="preserve"> where the parts of a subframe carrying data can be dynamically assigned </w:t>
      </w:r>
      <w:r w:rsidRPr="00BA2CDD">
        <w:rPr>
          <w:b/>
        </w:rPr>
        <w:t>to</w:t>
      </w:r>
      <w:r w:rsidR="00E63D88" w:rsidRPr="00BA2CDD">
        <w:rPr>
          <w:b/>
        </w:rPr>
        <w:t xml:space="preserve"> uplink or downlink as part of the scheduling decision.</w:t>
      </w:r>
    </w:p>
    <w:p w:rsidR="00FE5799" w:rsidRPr="00510266" w:rsidRDefault="00FE5799" w:rsidP="00FE5799">
      <w:pPr>
        <w:pStyle w:val="Heading1"/>
      </w:pPr>
      <w:r w:rsidRPr="00510266">
        <w:t>References</w:t>
      </w:r>
    </w:p>
    <w:p w:rsidR="00FE5799" w:rsidRPr="00BA2CDD" w:rsidRDefault="007F29F5" w:rsidP="00FE5799">
      <w:pPr>
        <w:numPr>
          <w:ilvl w:val="0"/>
          <w:numId w:val="2"/>
        </w:numPr>
        <w:jc w:val="both"/>
        <w:rPr>
          <w:szCs w:val="20"/>
          <w:lang w:val="it-IT"/>
        </w:rPr>
      </w:pPr>
      <w:r>
        <w:t>R1-163226</w:t>
      </w:r>
      <w:r w:rsidR="00E63D88">
        <w:t xml:space="preserve">, “Frame structure for </w:t>
      </w:r>
      <w:r>
        <w:t>NR</w:t>
      </w:r>
      <w:bookmarkStart w:id="3" w:name="_GoBack"/>
      <w:bookmarkEnd w:id="3"/>
      <w:r w:rsidR="00E63D88">
        <w:t>”, Ericsson</w:t>
      </w:r>
    </w:p>
    <w:p w:rsidR="00BA2CDD" w:rsidRPr="00461DD9" w:rsidRDefault="00BA2CDD" w:rsidP="00BA2CDD">
      <w:pPr>
        <w:jc w:val="both"/>
        <w:rPr>
          <w:szCs w:val="20"/>
          <w:lang w:val="it-IT"/>
        </w:rPr>
      </w:pPr>
    </w:p>
    <w:sectPr w:rsidR="00BA2CDD" w:rsidRPr="00461D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8D7" w:rsidRDefault="006678D7">
      <w:r>
        <w:separator/>
      </w:r>
    </w:p>
  </w:endnote>
  <w:endnote w:type="continuationSeparator" w:id="0">
    <w:p w:rsidR="006678D7" w:rsidRDefault="0066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8D7" w:rsidRDefault="006678D7">
      <w:r>
        <w:separator/>
      </w:r>
    </w:p>
  </w:footnote>
  <w:footnote w:type="continuationSeparator" w:id="0">
    <w:p w:rsidR="006678D7" w:rsidRDefault="00667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6678D7"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A258F"/>
    <w:rsid w:val="00112E18"/>
    <w:rsid w:val="00141448"/>
    <w:rsid w:val="0021013F"/>
    <w:rsid w:val="00256C92"/>
    <w:rsid w:val="00290099"/>
    <w:rsid w:val="003875A3"/>
    <w:rsid w:val="003C69A5"/>
    <w:rsid w:val="003E43ED"/>
    <w:rsid w:val="004E08A7"/>
    <w:rsid w:val="006678D7"/>
    <w:rsid w:val="006A286A"/>
    <w:rsid w:val="007F29F5"/>
    <w:rsid w:val="00834DE7"/>
    <w:rsid w:val="008A72D9"/>
    <w:rsid w:val="00931778"/>
    <w:rsid w:val="009A6BB8"/>
    <w:rsid w:val="009B2E48"/>
    <w:rsid w:val="00A81AA1"/>
    <w:rsid w:val="00AA13EF"/>
    <w:rsid w:val="00B368D9"/>
    <w:rsid w:val="00BA2CDD"/>
    <w:rsid w:val="00BC3912"/>
    <w:rsid w:val="00C1560A"/>
    <w:rsid w:val="00C61496"/>
    <w:rsid w:val="00C93774"/>
    <w:rsid w:val="00CE28B2"/>
    <w:rsid w:val="00CF67BE"/>
    <w:rsid w:val="00D03119"/>
    <w:rsid w:val="00DA110D"/>
    <w:rsid w:val="00E63D88"/>
    <w:rsid w:val="00EE36A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EE36AF"/>
    <w:rPr>
      <w:sz w:val="16"/>
      <w:szCs w:val="16"/>
    </w:rPr>
  </w:style>
  <w:style w:type="paragraph" w:styleId="CommentText">
    <w:name w:val="annotation text"/>
    <w:basedOn w:val="Normal"/>
    <w:link w:val="CommentTextChar"/>
    <w:uiPriority w:val="99"/>
    <w:semiHidden/>
    <w:unhideWhenUsed/>
    <w:rsid w:val="00EE36AF"/>
    <w:rPr>
      <w:szCs w:val="20"/>
    </w:rPr>
  </w:style>
  <w:style w:type="character" w:customStyle="1" w:styleId="CommentTextChar">
    <w:name w:val="Comment Text Char"/>
    <w:basedOn w:val="DefaultParagraphFont"/>
    <w:link w:val="CommentText"/>
    <w:uiPriority w:val="99"/>
    <w:semiHidden/>
    <w:rsid w:val="00EE36A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E36AF"/>
    <w:rPr>
      <w:b/>
      <w:bCs/>
    </w:rPr>
  </w:style>
  <w:style w:type="character" w:customStyle="1" w:styleId="CommentSubjectChar">
    <w:name w:val="Comment Subject Char"/>
    <w:basedOn w:val="CommentTextChar"/>
    <w:link w:val="CommentSubject"/>
    <w:uiPriority w:val="99"/>
    <w:semiHidden/>
    <w:rsid w:val="00EE36A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EE36AF"/>
    <w:rPr>
      <w:rFonts w:ascii="Tahoma" w:hAnsi="Tahoma" w:cs="Tahoma"/>
      <w:sz w:val="16"/>
      <w:szCs w:val="16"/>
    </w:rPr>
  </w:style>
  <w:style w:type="character" w:customStyle="1" w:styleId="BalloonTextChar">
    <w:name w:val="Balloon Text Char"/>
    <w:basedOn w:val="DefaultParagraphFont"/>
    <w:link w:val="BalloonText"/>
    <w:uiPriority w:val="99"/>
    <w:semiHidden/>
    <w:rsid w:val="00EE36AF"/>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EE36AF"/>
    <w:rPr>
      <w:sz w:val="16"/>
      <w:szCs w:val="16"/>
    </w:rPr>
  </w:style>
  <w:style w:type="paragraph" w:styleId="CommentText">
    <w:name w:val="annotation text"/>
    <w:basedOn w:val="Normal"/>
    <w:link w:val="CommentTextChar"/>
    <w:uiPriority w:val="99"/>
    <w:semiHidden/>
    <w:unhideWhenUsed/>
    <w:rsid w:val="00EE36AF"/>
    <w:rPr>
      <w:szCs w:val="20"/>
    </w:rPr>
  </w:style>
  <w:style w:type="character" w:customStyle="1" w:styleId="CommentTextChar">
    <w:name w:val="Comment Text Char"/>
    <w:basedOn w:val="DefaultParagraphFont"/>
    <w:link w:val="CommentText"/>
    <w:uiPriority w:val="99"/>
    <w:semiHidden/>
    <w:rsid w:val="00EE36A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E36AF"/>
    <w:rPr>
      <w:b/>
      <w:bCs/>
    </w:rPr>
  </w:style>
  <w:style w:type="character" w:customStyle="1" w:styleId="CommentSubjectChar">
    <w:name w:val="Comment Subject Char"/>
    <w:basedOn w:val="CommentTextChar"/>
    <w:link w:val="CommentSubject"/>
    <w:uiPriority w:val="99"/>
    <w:semiHidden/>
    <w:rsid w:val="00EE36A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EE36AF"/>
    <w:rPr>
      <w:rFonts w:ascii="Tahoma" w:hAnsi="Tahoma" w:cs="Tahoma"/>
      <w:sz w:val="16"/>
      <w:szCs w:val="16"/>
    </w:rPr>
  </w:style>
  <w:style w:type="character" w:customStyle="1" w:styleId="BalloonTextChar">
    <w:name w:val="Balloon Text Char"/>
    <w:basedOn w:val="DefaultParagraphFont"/>
    <w:link w:val="BalloonText"/>
    <w:uiPriority w:val="99"/>
    <w:semiHidden/>
    <w:rsid w:val="00EE36AF"/>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6567D-9CD9-405E-9817-C274FA176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2016-04-01T13:03:00Z</dcterms:created>
  <dcterms:modified xsi:type="dcterms:W3CDTF">2016-04-01T13:03:00Z</dcterms:modified>
</cp:coreProperties>
</file>